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B3" w:rsidRDefault="00D160B3" w:rsidP="00D160B3">
      <w:pPr>
        <w:jc w:val="right"/>
        <w:rPr>
          <w:noProof/>
          <w:lang w:val="fr-BE" w:eastAsia="fr-BE"/>
        </w:rPr>
      </w:pPr>
      <w:bookmarkStart w:id="0" w:name="_GoBack"/>
      <w:bookmarkEnd w:id="0"/>
      <w:r>
        <w:rPr>
          <w:noProof/>
          <w:lang w:val="fr-BE" w:eastAsia="fr-BE"/>
        </w:rPr>
        <w:t xml:space="preserve">Répertoire :    </w:t>
      </w:r>
      <w:r>
        <w:rPr>
          <w:noProof/>
          <w:lang w:val="fr-BE" w:eastAsia="fr-BE"/>
        </w:rPr>
        <w:tab/>
      </w:r>
      <w:r>
        <w:rPr>
          <w:noProof/>
          <w:lang w:val="fr-BE" w:eastAsia="fr-BE"/>
        </w:rPr>
        <w:tab/>
        <w:t>/2020</w:t>
      </w:r>
    </w:p>
    <w:p w:rsidR="00D160B3" w:rsidRDefault="00D160B3" w:rsidP="00D160B3">
      <w:pPr>
        <w:rPr>
          <w:noProof/>
          <w:lang w:val="fr-BE" w:eastAsia="fr-BE"/>
        </w:rPr>
      </w:pPr>
    </w:p>
    <w:p w:rsidR="00D160B3" w:rsidRDefault="00D160B3" w:rsidP="00D160B3">
      <w:pPr>
        <w:rPr>
          <w:color w:val="00B0F0"/>
          <w:sz w:val="24"/>
          <w:szCs w:val="24"/>
          <w:lang w:val="fr-BE"/>
        </w:rPr>
      </w:pPr>
      <w:r>
        <w:rPr>
          <w:noProof/>
          <w:lang w:val="nl-BE" w:eastAsia="nl-BE"/>
        </w:rPr>
        <w:drawing>
          <wp:inline distT="0" distB="0" distL="0" distR="0" wp14:anchorId="13F56F11" wp14:editId="49B2AB4D">
            <wp:extent cx="1167108" cy="5146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62" cy="53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F0"/>
          <w:sz w:val="24"/>
          <w:szCs w:val="24"/>
          <w:lang w:val="fr-BE"/>
        </w:rPr>
        <w:t xml:space="preserve">     </w:t>
      </w:r>
    </w:p>
    <w:p w:rsidR="00D160B3" w:rsidRPr="00D80FAD" w:rsidRDefault="00D160B3" w:rsidP="00D160B3">
      <w:pPr>
        <w:jc w:val="center"/>
        <w:rPr>
          <w:color w:val="00B0F0"/>
          <w:sz w:val="36"/>
          <w:szCs w:val="36"/>
          <w:lang w:val="fr-BE"/>
        </w:rPr>
      </w:pPr>
      <w:r w:rsidRPr="00D17D9C">
        <w:rPr>
          <w:color w:val="00B0F0"/>
          <w:sz w:val="24"/>
          <w:szCs w:val="24"/>
          <w:lang w:val="fr-BE"/>
        </w:rPr>
        <w:t xml:space="preserve">Justices de paix et Tribunal de police de l’arrondissement du </w:t>
      </w:r>
      <w:r>
        <w:rPr>
          <w:color w:val="00B0F0"/>
          <w:sz w:val="24"/>
          <w:szCs w:val="24"/>
          <w:lang w:val="fr-BE"/>
        </w:rPr>
        <w:t>Luxembourg</w:t>
      </w:r>
    </w:p>
    <w:p w:rsidR="00D160B3" w:rsidRPr="00D160B3" w:rsidRDefault="00D160B3">
      <w:pPr>
        <w:rPr>
          <w:color w:val="00B0F0"/>
          <w:u w:val="single"/>
          <w:lang w:val="fr-BE"/>
        </w:rPr>
      </w:pP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  <w:r>
        <w:rPr>
          <w:color w:val="00B0F0"/>
          <w:u w:val="single"/>
          <w:lang w:val="fr-BE"/>
        </w:rPr>
        <w:tab/>
      </w:r>
    </w:p>
    <w:p w:rsidR="00D160B3" w:rsidRDefault="00D160B3">
      <w:pPr>
        <w:rPr>
          <w:lang w:val="fr-BE"/>
        </w:rPr>
      </w:pPr>
    </w:p>
    <w:p w:rsidR="00D160B3" w:rsidRDefault="00D160B3">
      <w:pPr>
        <w:rPr>
          <w:lang w:val="fr-BE"/>
        </w:rPr>
      </w:pPr>
    </w:p>
    <w:p w:rsidR="003233CB" w:rsidRDefault="003C1242">
      <w:pPr>
        <w:rPr>
          <w:lang w:val="fr-BE"/>
        </w:rPr>
      </w:pPr>
      <w:r>
        <w:rPr>
          <w:lang w:val="fr-BE"/>
        </w:rPr>
        <w:t>L’an deux mille vingt, le 17 avril</w:t>
      </w:r>
      <w:r w:rsidR="003233CB">
        <w:rPr>
          <w:lang w:val="fr-BE"/>
        </w:rPr>
        <w:t>,</w:t>
      </w:r>
    </w:p>
    <w:p w:rsidR="003233CB" w:rsidRDefault="003233CB">
      <w:pPr>
        <w:rPr>
          <w:lang w:val="fr-BE"/>
        </w:rPr>
      </w:pPr>
      <w:r>
        <w:rPr>
          <w:lang w:val="fr-BE"/>
        </w:rPr>
        <w:t>Vu la loi sur l’emploi des langues en matière judiciaire ;</w:t>
      </w:r>
    </w:p>
    <w:p w:rsidR="003233CB" w:rsidRDefault="003233CB">
      <w:pPr>
        <w:rPr>
          <w:lang w:val="fr-BE"/>
        </w:rPr>
      </w:pPr>
      <w:r>
        <w:rPr>
          <w:lang w:val="fr-BE"/>
        </w:rPr>
        <w:t>Vu l’extrême urgence et les nécessités du service ;</w:t>
      </w:r>
    </w:p>
    <w:p w:rsidR="00DC5979" w:rsidRDefault="003233CB">
      <w:pPr>
        <w:rPr>
          <w:lang w:val="fr-BE"/>
        </w:rPr>
      </w:pPr>
      <w:r>
        <w:rPr>
          <w:lang w:val="fr-BE"/>
        </w:rPr>
        <w:t xml:space="preserve">Vu les recommandations arrêtées par le Gouvernement Fédéral à l’issue de la réunion du Conseil National de </w:t>
      </w:r>
      <w:r w:rsidR="003C1242">
        <w:rPr>
          <w:lang w:val="fr-BE"/>
        </w:rPr>
        <w:t xml:space="preserve">Sécurité du </w:t>
      </w:r>
      <w:r>
        <w:rPr>
          <w:lang w:val="fr-BE"/>
        </w:rPr>
        <w:t>12 mars 2020</w:t>
      </w:r>
      <w:r w:rsidR="003C1242">
        <w:rPr>
          <w:lang w:val="fr-BE"/>
        </w:rPr>
        <w:t xml:space="preserve"> et du 15 avril 2020</w:t>
      </w:r>
      <w:r>
        <w:rPr>
          <w:lang w:val="fr-BE"/>
        </w:rPr>
        <w:t> ;</w:t>
      </w:r>
    </w:p>
    <w:p w:rsidR="00DC5979" w:rsidRDefault="00DC5979">
      <w:pPr>
        <w:rPr>
          <w:lang w:val="fr-BE"/>
        </w:rPr>
      </w:pPr>
      <w:r>
        <w:rPr>
          <w:lang w:val="fr-BE"/>
        </w:rPr>
        <w:t>Vu la directive contraignante du collège des Cours et tribunaux du 28 mars 2020 ;</w:t>
      </w:r>
    </w:p>
    <w:p w:rsidR="00DC5979" w:rsidRDefault="00DC5979">
      <w:pPr>
        <w:rPr>
          <w:lang w:val="fr-BE"/>
        </w:rPr>
      </w:pPr>
      <w:r>
        <w:rPr>
          <w:lang w:val="fr-BE"/>
        </w:rPr>
        <w:t>Vu les Arrêtés Royaux de Pouvoirs spéciaux n°2 et n°3 du 9 avril 2020 ;</w:t>
      </w:r>
    </w:p>
    <w:p w:rsidR="00DC5979" w:rsidRDefault="00DC5979">
      <w:pPr>
        <w:rPr>
          <w:lang w:val="fr-BE"/>
        </w:rPr>
      </w:pPr>
      <w:r>
        <w:rPr>
          <w:lang w:val="fr-BE"/>
        </w:rPr>
        <w:t>Vu notre ordonnance du  16 mars 2020 ;</w:t>
      </w:r>
    </w:p>
    <w:p w:rsidR="00DC5979" w:rsidRDefault="00DC5979">
      <w:pPr>
        <w:rPr>
          <w:lang w:val="fr-BE"/>
        </w:rPr>
      </w:pPr>
      <w:r w:rsidRPr="00DC5979">
        <w:rPr>
          <w:lang w:val="fr-BE"/>
        </w:rPr>
        <w:t>Considérant qu’il est nécessaire de tenir compte de la prolongation de la période de confinement décidée par le Conseil National de Sécurité et d’adapter les mesures prises</w:t>
      </w:r>
      <w:r>
        <w:rPr>
          <w:lang w:val="fr-BE"/>
        </w:rPr>
        <w:t xml:space="preserve"> par ordonnance du 16 mars 2020 ;</w:t>
      </w:r>
    </w:p>
    <w:p w:rsidR="003233CB" w:rsidRDefault="003233CB">
      <w:pPr>
        <w:rPr>
          <w:lang w:val="fr-BE"/>
        </w:rPr>
      </w:pPr>
      <w:r>
        <w:rPr>
          <w:lang w:val="fr-BE"/>
        </w:rPr>
        <w:t>Nous, Anne DUBOIS, Présidente des juges de paix et des juges au tribunal de police du Luxembourg, assisté</w:t>
      </w:r>
      <w:r w:rsidR="00F77699">
        <w:rPr>
          <w:lang w:val="fr-BE"/>
        </w:rPr>
        <w:t>e</w:t>
      </w:r>
      <w:r>
        <w:rPr>
          <w:lang w:val="fr-BE"/>
        </w:rPr>
        <w:t xml:space="preserve"> de </w:t>
      </w:r>
      <w:r w:rsidR="003C1242">
        <w:rPr>
          <w:lang w:val="fr-BE"/>
        </w:rPr>
        <w:t xml:space="preserve">Laurent GORET, vice-président et </w:t>
      </w:r>
      <w:r>
        <w:rPr>
          <w:lang w:val="fr-BE"/>
        </w:rPr>
        <w:t>Christophe PHILIPPE, greffier en chef</w:t>
      </w:r>
      <w:r w:rsidR="00F77699">
        <w:rPr>
          <w:lang w:val="fr-BE"/>
        </w:rPr>
        <w:t xml:space="preserve"> avons prononcé l’ordonnance suivante </w:t>
      </w:r>
      <w:r w:rsidR="003C1242">
        <w:rPr>
          <w:lang w:val="fr-BE"/>
        </w:rPr>
        <w:t>pour la période du 20 avril 2020 au 3 mai 2020</w:t>
      </w:r>
      <w:r w:rsidR="00DC5979">
        <w:rPr>
          <w:lang w:val="fr-BE"/>
        </w:rPr>
        <w:t> ;</w:t>
      </w:r>
    </w:p>
    <w:p w:rsidR="002C2773" w:rsidRPr="002C2773" w:rsidRDefault="002C2773">
      <w:pPr>
        <w:rPr>
          <w:b/>
          <w:u w:val="single"/>
          <w:lang w:val="fr-BE"/>
        </w:rPr>
      </w:pPr>
      <w:r w:rsidRPr="002C2773">
        <w:rPr>
          <w:b/>
          <w:u w:val="single"/>
          <w:lang w:val="fr-BE"/>
        </w:rPr>
        <w:t>Justices de paix</w:t>
      </w:r>
    </w:p>
    <w:p w:rsidR="002C2773" w:rsidRDefault="002C2773">
      <w:pPr>
        <w:rPr>
          <w:lang w:val="fr-BE"/>
        </w:rPr>
      </w:pPr>
      <w:r>
        <w:rPr>
          <w:lang w:val="fr-BE"/>
        </w:rPr>
        <w:t xml:space="preserve">Les audiences </w:t>
      </w:r>
      <w:r w:rsidR="004C43D4">
        <w:rPr>
          <w:lang w:val="fr-BE"/>
        </w:rPr>
        <w:t xml:space="preserve">publiques et les audiences de conciliation </w:t>
      </w:r>
      <w:r>
        <w:rPr>
          <w:lang w:val="fr-BE"/>
        </w:rPr>
        <w:t>sont suspendues durant toute la période</w:t>
      </w:r>
      <w:r w:rsidR="004C43D4">
        <w:rPr>
          <w:lang w:val="fr-BE"/>
        </w:rPr>
        <w:t>.</w:t>
      </w:r>
    </w:p>
    <w:p w:rsidR="00731573" w:rsidRDefault="00731573">
      <w:pPr>
        <w:rPr>
          <w:lang w:val="fr-BE"/>
        </w:rPr>
      </w:pPr>
      <w:r>
        <w:rPr>
          <w:lang w:val="fr-BE"/>
        </w:rPr>
        <w:t xml:space="preserve">Il sera fait mention au </w:t>
      </w:r>
      <w:r w:rsidR="00AA630B">
        <w:rPr>
          <w:lang w:val="fr-BE"/>
        </w:rPr>
        <w:t>procès-verbal d’audience et à la</w:t>
      </w:r>
      <w:r>
        <w:rPr>
          <w:lang w:val="fr-BE"/>
        </w:rPr>
        <w:t xml:space="preserve"> feuille d’audience de la cause de la remise.</w:t>
      </w:r>
    </w:p>
    <w:p w:rsidR="003C1242" w:rsidRDefault="003C1242">
      <w:pPr>
        <w:rPr>
          <w:lang w:val="fr-BE"/>
        </w:rPr>
      </w:pPr>
      <w:r>
        <w:rPr>
          <w:lang w:val="fr-BE"/>
        </w:rPr>
        <w:t xml:space="preserve">Vu la diminution du nombre de dossiers fixés à l’introduction, les affaires pourront être remises </w:t>
      </w:r>
      <w:r w:rsidR="00DC5979">
        <w:rPr>
          <w:lang w:val="fr-BE"/>
        </w:rPr>
        <w:t>(</w:t>
      </w:r>
      <w:r w:rsidR="00AA630B">
        <w:rPr>
          <w:lang w:val="fr-BE"/>
        </w:rPr>
        <w:t>par exemple en juin</w:t>
      </w:r>
      <w:r w:rsidR="00DC5979">
        <w:rPr>
          <w:lang w:val="fr-BE"/>
        </w:rPr>
        <w:t>)</w:t>
      </w:r>
      <w:r w:rsidR="00AA630B">
        <w:rPr>
          <w:lang w:val="fr-BE"/>
        </w:rPr>
        <w:t xml:space="preserve"> </w:t>
      </w:r>
      <w:r>
        <w:rPr>
          <w:lang w:val="fr-BE"/>
        </w:rPr>
        <w:t>plutôt que renvoyées au rôle</w:t>
      </w:r>
      <w:r w:rsidR="00DC5979">
        <w:rPr>
          <w:lang w:val="fr-BE"/>
        </w:rPr>
        <w:t xml:space="preserve"> à l’appréciation du magistrat,</w:t>
      </w:r>
      <w:r>
        <w:rPr>
          <w:lang w:val="fr-BE"/>
        </w:rPr>
        <w:t xml:space="preserve"> de manière à ne pas augmenter davantage le nombre des dossiers en attente de fixation suite à la suspension des audiences durant les dernières semaines.</w:t>
      </w:r>
    </w:p>
    <w:p w:rsidR="004C43D4" w:rsidRDefault="004C43D4">
      <w:pPr>
        <w:rPr>
          <w:lang w:val="fr-BE"/>
        </w:rPr>
      </w:pPr>
      <w:r>
        <w:rPr>
          <w:lang w:val="fr-BE"/>
        </w:rPr>
        <w:t>I</w:t>
      </w:r>
      <w:r w:rsidR="003C1242">
        <w:rPr>
          <w:lang w:val="fr-BE"/>
        </w:rPr>
        <w:t>l a été</w:t>
      </w:r>
      <w:r>
        <w:rPr>
          <w:lang w:val="fr-BE"/>
        </w:rPr>
        <w:t xml:space="preserve"> demandé au syndic des Huissiers de justic</w:t>
      </w:r>
      <w:r w:rsidR="00577904">
        <w:rPr>
          <w:lang w:val="fr-BE"/>
        </w:rPr>
        <w:t xml:space="preserve">e de l’arrondissement de </w:t>
      </w:r>
      <w:r w:rsidR="003C1242">
        <w:rPr>
          <w:lang w:val="fr-BE"/>
        </w:rPr>
        <w:t>prolonger les mesures prises et de n’</w:t>
      </w:r>
      <w:r>
        <w:rPr>
          <w:lang w:val="fr-BE"/>
        </w:rPr>
        <w:t>introduire aucun dossier non urgent  durant cette période</w:t>
      </w:r>
      <w:r w:rsidR="00DC5979">
        <w:rPr>
          <w:lang w:val="fr-BE"/>
        </w:rPr>
        <w:t xml:space="preserve"> soit jusqu’au 3 mai 2020</w:t>
      </w:r>
      <w:r>
        <w:rPr>
          <w:lang w:val="fr-BE"/>
        </w:rPr>
        <w:t>.</w:t>
      </w:r>
      <w:r w:rsidR="00F77699">
        <w:rPr>
          <w:lang w:val="fr-BE"/>
        </w:rPr>
        <w:t xml:space="preserve"> Les causes qui requièrent une urgence manifeste pourront être introduits moyennant l’autorisation du magistrat.</w:t>
      </w:r>
    </w:p>
    <w:p w:rsidR="004C43D4" w:rsidRDefault="003C1242">
      <w:pPr>
        <w:rPr>
          <w:lang w:val="fr-BE"/>
        </w:rPr>
      </w:pPr>
      <w:r>
        <w:rPr>
          <w:lang w:val="fr-BE"/>
        </w:rPr>
        <w:lastRenderedPageBreak/>
        <w:t>En ce qui concerne les contentieux de masse</w:t>
      </w:r>
      <w:r w:rsidR="00C944E8">
        <w:rPr>
          <w:lang w:val="fr-BE"/>
        </w:rPr>
        <w:t xml:space="preserve">, </w:t>
      </w:r>
      <w:r>
        <w:rPr>
          <w:lang w:val="fr-BE"/>
        </w:rPr>
        <w:t>les huissiers sont invités à prendre contact avec les greffes de chaque justice de paix dès que de</w:t>
      </w:r>
      <w:r w:rsidR="00577904">
        <w:rPr>
          <w:lang w:val="fr-BE"/>
        </w:rPr>
        <w:t>s audiences pourront avoir lieu</w:t>
      </w:r>
      <w:r>
        <w:rPr>
          <w:lang w:val="fr-BE"/>
        </w:rPr>
        <w:t xml:space="preserve"> afin de déterminer les dates de fixation en fonct</w:t>
      </w:r>
      <w:r w:rsidR="00400B2A">
        <w:rPr>
          <w:lang w:val="fr-BE"/>
        </w:rPr>
        <w:t>ion du nombre de dossiers.</w:t>
      </w:r>
    </w:p>
    <w:p w:rsidR="00400B2A" w:rsidRDefault="00AA630B">
      <w:pPr>
        <w:rPr>
          <w:lang w:val="fr-BE"/>
        </w:rPr>
      </w:pPr>
      <w:r w:rsidRPr="00AA630B">
        <w:rPr>
          <w:lang w:val="fr-BE"/>
        </w:rPr>
        <w:t xml:space="preserve">Pour les dossiers fixés et dans lesquels toutes les parties ont </w:t>
      </w:r>
      <w:r>
        <w:rPr>
          <w:lang w:val="fr-BE"/>
        </w:rPr>
        <w:t>con</w:t>
      </w:r>
      <w:r w:rsidR="00C944E8">
        <w:rPr>
          <w:lang w:val="fr-BE"/>
        </w:rPr>
        <w:t>clu, il y a lieu d’appliquer l’Arrêté R</w:t>
      </w:r>
      <w:r>
        <w:rPr>
          <w:lang w:val="fr-BE"/>
        </w:rPr>
        <w:t>o</w:t>
      </w:r>
      <w:r w:rsidR="00400B2A">
        <w:rPr>
          <w:lang w:val="fr-BE"/>
        </w:rPr>
        <w:t>y</w:t>
      </w:r>
      <w:r>
        <w:rPr>
          <w:lang w:val="fr-BE"/>
        </w:rPr>
        <w:t>a</w:t>
      </w:r>
      <w:r w:rsidR="00400B2A">
        <w:rPr>
          <w:lang w:val="fr-BE"/>
        </w:rPr>
        <w:t>l</w:t>
      </w:r>
      <w:r w:rsidR="00400B2A" w:rsidRPr="00400B2A">
        <w:rPr>
          <w:lang w:val="fr-BE"/>
        </w:rPr>
        <w:t xml:space="preserve"> du 9 avril 2020,</w:t>
      </w:r>
      <w:r w:rsidR="00400B2A">
        <w:rPr>
          <w:lang w:val="fr-BE"/>
        </w:rPr>
        <w:t xml:space="preserve"> publié au MB du même jour.</w:t>
      </w:r>
    </w:p>
    <w:p w:rsidR="00370915" w:rsidRDefault="00577904">
      <w:pPr>
        <w:rPr>
          <w:lang w:val="fr-BE"/>
        </w:rPr>
      </w:pPr>
      <w:r>
        <w:rPr>
          <w:lang w:val="fr-BE"/>
        </w:rPr>
        <w:t>Concernant les demandes de mise sous protection, chaque</w:t>
      </w:r>
      <w:r w:rsidR="00370915">
        <w:rPr>
          <w:lang w:val="fr-BE"/>
        </w:rPr>
        <w:t xml:space="preserve"> magistrat appréciera au cas par cas les dossiers urgents q</w:t>
      </w:r>
      <w:r w:rsidR="00F77699">
        <w:rPr>
          <w:lang w:val="fr-BE"/>
        </w:rPr>
        <w:t>ui doivent être traités et qui peuvent l’être dans le respect des consignes sanitaires.</w:t>
      </w:r>
    </w:p>
    <w:p w:rsidR="003233CB" w:rsidRPr="003233CB" w:rsidRDefault="003233CB">
      <w:pPr>
        <w:rPr>
          <w:b/>
          <w:u w:val="single"/>
          <w:lang w:val="fr-BE"/>
        </w:rPr>
      </w:pPr>
      <w:r w:rsidRPr="003233CB">
        <w:rPr>
          <w:b/>
          <w:u w:val="single"/>
          <w:lang w:val="fr-BE"/>
        </w:rPr>
        <w:t>Tribunaux de police</w:t>
      </w:r>
    </w:p>
    <w:p w:rsidR="003233CB" w:rsidRPr="005B5315" w:rsidRDefault="005B5315">
      <w:pPr>
        <w:rPr>
          <w:u w:val="single"/>
          <w:lang w:val="fr-BE"/>
        </w:rPr>
      </w:pPr>
      <w:r w:rsidRPr="005B5315">
        <w:rPr>
          <w:u w:val="single"/>
          <w:lang w:val="fr-BE"/>
        </w:rPr>
        <w:t>Au pénal</w:t>
      </w:r>
    </w:p>
    <w:p w:rsidR="00577904" w:rsidRDefault="00577904" w:rsidP="007C41EE">
      <w:pPr>
        <w:rPr>
          <w:lang w:val="fr-BE"/>
        </w:rPr>
      </w:pPr>
      <w:r>
        <w:rPr>
          <w:lang w:val="fr-BE"/>
        </w:rPr>
        <w:t>Les mesures prises dans l’ordonnance du 16 mars 2020 sont maintenues.</w:t>
      </w:r>
    </w:p>
    <w:p w:rsidR="005B5315" w:rsidRDefault="00577904" w:rsidP="007C41EE">
      <w:pPr>
        <w:rPr>
          <w:lang w:val="fr-BE"/>
        </w:rPr>
      </w:pPr>
      <w:r>
        <w:rPr>
          <w:lang w:val="fr-BE"/>
        </w:rPr>
        <w:t>Pour rappel, s</w:t>
      </w:r>
      <w:r w:rsidR="00E540A2">
        <w:rPr>
          <w:lang w:val="fr-BE"/>
        </w:rPr>
        <w:t>auf urgence</w:t>
      </w:r>
      <w:r w:rsidR="007C41EE">
        <w:rPr>
          <w:lang w:val="fr-BE"/>
        </w:rPr>
        <w:t xml:space="preserve"> (</w:t>
      </w:r>
      <w:r w:rsidR="007C41EE" w:rsidRPr="007C41EE">
        <w:rPr>
          <w:lang w:val="fr-BE"/>
        </w:rPr>
        <w:t>do</w:t>
      </w:r>
      <w:r w:rsidR="007C41EE">
        <w:rPr>
          <w:lang w:val="fr-BE"/>
        </w:rPr>
        <w:t xml:space="preserve">ssiers impliquant des détenus et </w:t>
      </w:r>
      <w:r w:rsidR="007C41EE" w:rsidRPr="007C41EE">
        <w:rPr>
          <w:lang w:val="fr-BE"/>
        </w:rPr>
        <w:t>dossiers présentant un caractère u</w:t>
      </w:r>
      <w:r w:rsidR="00F77699">
        <w:rPr>
          <w:lang w:val="fr-BE"/>
        </w:rPr>
        <w:t xml:space="preserve">rgent </w:t>
      </w:r>
      <w:r w:rsidR="007C41EE" w:rsidRPr="007C41EE">
        <w:rPr>
          <w:lang w:val="fr-BE"/>
        </w:rPr>
        <w:t xml:space="preserve">à définir </w:t>
      </w:r>
      <w:r w:rsidR="007C41EE">
        <w:rPr>
          <w:lang w:val="fr-BE"/>
        </w:rPr>
        <w:t>en concertation avec le parquet),  l</w:t>
      </w:r>
      <w:r w:rsidR="005B5315">
        <w:rPr>
          <w:lang w:val="fr-BE"/>
        </w:rPr>
        <w:t xml:space="preserve">es affaires seront remises d’office </w:t>
      </w:r>
      <w:r w:rsidR="00D56A2A">
        <w:rPr>
          <w:lang w:val="fr-BE"/>
        </w:rPr>
        <w:t>selon le calendrier proposé par Monsieur le procureur du roi</w:t>
      </w:r>
      <w:r w:rsidR="00E540A2">
        <w:rPr>
          <w:lang w:val="fr-BE"/>
        </w:rPr>
        <w:t>.</w:t>
      </w:r>
    </w:p>
    <w:p w:rsidR="007C41EE" w:rsidRDefault="00731573" w:rsidP="007C41EE">
      <w:pPr>
        <w:rPr>
          <w:lang w:val="fr-BE"/>
        </w:rPr>
      </w:pPr>
      <w:r w:rsidRPr="00731573">
        <w:rPr>
          <w:lang w:val="fr-BE"/>
        </w:rPr>
        <w:t>Il sera fait mention au procès-ver</w:t>
      </w:r>
      <w:r w:rsidR="00577904">
        <w:rPr>
          <w:lang w:val="fr-BE"/>
        </w:rPr>
        <w:t>bal d’audience et à la</w:t>
      </w:r>
      <w:r w:rsidRPr="00731573">
        <w:rPr>
          <w:lang w:val="fr-BE"/>
        </w:rPr>
        <w:t xml:space="preserve"> feuille d’audience de la cause de la remise.</w:t>
      </w:r>
    </w:p>
    <w:p w:rsidR="007C41EE" w:rsidRDefault="007C41EE" w:rsidP="007C41EE">
      <w:pPr>
        <w:rPr>
          <w:u w:val="single"/>
          <w:lang w:val="fr-BE"/>
        </w:rPr>
      </w:pPr>
      <w:r w:rsidRPr="007C41EE">
        <w:rPr>
          <w:u w:val="single"/>
          <w:lang w:val="fr-BE"/>
        </w:rPr>
        <w:t>Au civil</w:t>
      </w:r>
    </w:p>
    <w:p w:rsidR="00AA630B" w:rsidRDefault="00370915" w:rsidP="007C41EE">
      <w:pPr>
        <w:rPr>
          <w:lang w:val="fr-BE"/>
        </w:rPr>
      </w:pPr>
      <w:r w:rsidRPr="00370915">
        <w:rPr>
          <w:lang w:val="fr-BE"/>
        </w:rPr>
        <w:t>Le magistrat appréciera au cas par cas les dossiers u</w:t>
      </w:r>
      <w:r w:rsidR="00522B76">
        <w:rPr>
          <w:lang w:val="fr-BE"/>
        </w:rPr>
        <w:t xml:space="preserve">rgents qui doivent être traités </w:t>
      </w:r>
      <w:r w:rsidR="00522B76" w:rsidRPr="00522B76">
        <w:rPr>
          <w:lang w:val="fr-BE"/>
        </w:rPr>
        <w:t>et qui peuvent l’être dans le respect des consignes sanitaires.</w:t>
      </w:r>
    </w:p>
    <w:p w:rsidR="00400B2A" w:rsidRDefault="00AA630B" w:rsidP="007C41EE">
      <w:pPr>
        <w:rPr>
          <w:lang w:val="fr-BE"/>
        </w:rPr>
      </w:pPr>
      <w:r>
        <w:rPr>
          <w:lang w:val="fr-BE"/>
        </w:rPr>
        <w:t>P</w:t>
      </w:r>
      <w:r w:rsidRPr="00AA630B">
        <w:rPr>
          <w:lang w:val="fr-BE"/>
        </w:rPr>
        <w:t xml:space="preserve">our les dossiers fixés et dans lesquels toutes les parties ont </w:t>
      </w:r>
      <w:r>
        <w:rPr>
          <w:lang w:val="fr-BE"/>
        </w:rPr>
        <w:t>conclu,</w:t>
      </w:r>
      <w:r w:rsidR="00400B2A" w:rsidRPr="00400B2A">
        <w:rPr>
          <w:lang w:val="fr-BE"/>
        </w:rPr>
        <w:t xml:space="preserve"> il y</w:t>
      </w:r>
      <w:r w:rsidR="00400B2A">
        <w:rPr>
          <w:lang w:val="fr-BE"/>
        </w:rPr>
        <w:t xml:space="preserve"> a lieu d’appliquer l’arrêté ro</w:t>
      </w:r>
      <w:r w:rsidR="00400B2A" w:rsidRPr="00400B2A">
        <w:rPr>
          <w:lang w:val="fr-BE"/>
        </w:rPr>
        <w:t>y</w:t>
      </w:r>
      <w:r w:rsidR="00400B2A">
        <w:rPr>
          <w:lang w:val="fr-BE"/>
        </w:rPr>
        <w:t>a</w:t>
      </w:r>
      <w:r w:rsidR="00400B2A" w:rsidRPr="00400B2A">
        <w:rPr>
          <w:lang w:val="fr-BE"/>
        </w:rPr>
        <w:t>l du 9 avril 2020, publié au MB du même jour.</w:t>
      </w:r>
    </w:p>
    <w:p w:rsidR="00F77699" w:rsidRPr="00F77699" w:rsidRDefault="00F77699" w:rsidP="007C41EE">
      <w:pPr>
        <w:rPr>
          <w:b/>
          <w:u w:val="single"/>
          <w:lang w:val="fr-BE"/>
        </w:rPr>
      </w:pPr>
      <w:r w:rsidRPr="00F77699">
        <w:rPr>
          <w:b/>
          <w:u w:val="single"/>
          <w:lang w:val="fr-BE"/>
        </w:rPr>
        <w:t>Organisation des greffes</w:t>
      </w:r>
    </w:p>
    <w:p w:rsidR="00577904" w:rsidRDefault="00577904" w:rsidP="00577904">
      <w:pPr>
        <w:rPr>
          <w:lang w:val="fr-BE"/>
        </w:rPr>
      </w:pPr>
      <w:r>
        <w:rPr>
          <w:lang w:val="fr-BE"/>
        </w:rPr>
        <w:t>Les mesures appliquées durant les deux dernières semaine</w:t>
      </w:r>
      <w:r w:rsidR="00D160B3">
        <w:rPr>
          <w:lang w:val="fr-BE"/>
        </w:rPr>
        <w:t>s</w:t>
      </w:r>
      <w:r>
        <w:rPr>
          <w:lang w:val="fr-BE"/>
        </w:rPr>
        <w:t xml:space="preserve"> sont poursuivies.</w:t>
      </w:r>
    </w:p>
    <w:p w:rsidR="00577904" w:rsidRPr="00577904" w:rsidRDefault="00577904" w:rsidP="00577904">
      <w:pPr>
        <w:rPr>
          <w:lang w:val="fr-BE"/>
        </w:rPr>
      </w:pPr>
      <w:r>
        <w:rPr>
          <w:lang w:val="fr-BE"/>
        </w:rPr>
        <w:t>Durant les matinées, un collaborateur et un greffier seront présents.</w:t>
      </w:r>
    </w:p>
    <w:p w:rsidR="00577904" w:rsidRPr="00577904" w:rsidRDefault="00577904" w:rsidP="00577904">
      <w:pPr>
        <w:rPr>
          <w:lang w:val="fr-BE"/>
        </w:rPr>
      </w:pPr>
      <w:r w:rsidRPr="00577904">
        <w:rPr>
          <w:lang w:val="fr-BE"/>
        </w:rPr>
        <w:t>L’après-midi, les greffes restent ouverts mais la présence d’un seul membre du personnel est obligatoire (en cas d’urgence, un greffier doit être rappelable).</w:t>
      </w:r>
    </w:p>
    <w:p w:rsidR="00577904" w:rsidRPr="00577904" w:rsidRDefault="00577904" w:rsidP="00577904">
      <w:pPr>
        <w:rPr>
          <w:lang w:val="fr-BE"/>
        </w:rPr>
      </w:pPr>
      <w:r w:rsidRPr="00577904">
        <w:rPr>
          <w:lang w:val="fr-BE"/>
        </w:rPr>
        <w:t>En ce qui concerne les palais, une concertation aura lieu entre les justices de paix et les tribunaux de police afin qu’au moins un greffier soit présent le matin et l’après-midi dans l’une des deux entités.</w:t>
      </w:r>
    </w:p>
    <w:p w:rsidR="00577904" w:rsidRDefault="00577904" w:rsidP="00577904">
      <w:pPr>
        <w:rPr>
          <w:lang w:val="fr-BE"/>
        </w:rPr>
      </w:pPr>
      <w:r w:rsidRPr="00577904">
        <w:rPr>
          <w:lang w:val="fr-BE"/>
        </w:rPr>
        <w:t>Pour le reste, les règles préalablement établies (télétravail, distanciation sociale, etc</w:t>
      </w:r>
      <w:r w:rsidR="00D160B3">
        <w:rPr>
          <w:lang w:val="fr-BE"/>
        </w:rPr>
        <w:t>.</w:t>
      </w:r>
      <w:r w:rsidRPr="00577904">
        <w:rPr>
          <w:lang w:val="fr-BE"/>
        </w:rPr>
        <w:t>) restent d’application.</w:t>
      </w:r>
    </w:p>
    <w:p w:rsidR="00F77699" w:rsidRDefault="00F77699" w:rsidP="007C41EE">
      <w:pPr>
        <w:rPr>
          <w:lang w:val="fr-BE"/>
        </w:rPr>
      </w:pPr>
      <w:r>
        <w:rPr>
          <w:lang w:val="fr-BE"/>
        </w:rPr>
        <w:t xml:space="preserve">Pour le public, il s’impose de </w:t>
      </w:r>
      <w:r w:rsidR="00577904">
        <w:rPr>
          <w:lang w:val="fr-BE"/>
        </w:rPr>
        <w:t xml:space="preserve">continuer également à </w:t>
      </w:r>
      <w:r>
        <w:rPr>
          <w:lang w:val="fr-BE"/>
        </w:rPr>
        <w:t>limiter les contacts physiques et de privilégier les contacts par courriers, mails et téléphone.</w:t>
      </w:r>
    </w:p>
    <w:p w:rsidR="00F77699" w:rsidRDefault="00F77699" w:rsidP="007C41EE">
      <w:pPr>
        <w:rPr>
          <w:lang w:val="fr-BE"/>
        </w:rPr>
      </w:pPr>
      <w:r>
        <w:rPr>
          <w:lang w:val="fr-BE"/>
        </w:rPr>
        <w:t>La présen</w:t>
      </w:r>
      <w:r w:rsidR="00577904">
        <w:rPr>
          <w:lang w:val="fr-BE"/>
        </w:rPr>
        <w:t>te ordonnance prend effet le 20 avril 2020 jusqu’au 3 mai 2020</w:t>
      </w:r>
      <w:r>
        <w:rPr>
          <w:lang w:val="fr-BE"/>
        </w:rPr>
        <w:t>.</w:t>
      </w:r>
    </w:p>
    <w:p w:rsidR="00C97E28" w:rsidRDefault="00C97E28" w:rsidP="007C41EE">
      <w:pPr>
        <w:rPr>
          <w:lang w:val="fr-BE"/>
        </w:rPr>
      </w:pPr>
    </w:p>
    <w:p w:rsidR="00C97E28" w:rsidRDefault="00C97E28" w:rsidP="007C41EE">
      <w:pPr>
        <w:rPr>
          <w:lang w:val="fr-BE"/>
        </w:rPr>
      </w:pPr>
    </w:p>
    <w:p w:rsidR="00C97E28" w:rsidRDefault="00C97E28" w:rsidP="00C97E28">
      <w:pPr>
        <w:rPr>
          <w:lang w:val="fr-BE"/>
        </w:rPr>
      </w:pPr>
      <w:r>
        <w:rPr>
          <w:lang w:val="fr-BE"/>
        </w:rPr>
        <w:t>Le Greffier en chef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La Présidente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Le Vice-Président</w:t>
      </w:r>
    </w:p>
    <w:p w:rsidR="00C97E28" w:rsidRPr="007C41EE" w:rsidRDefault="00C97E28" w:rsidP="00C97E28">
      <w:pPr>
        <w:rPr>
          <w:lang w:val="fr-BE"/>
        </w:rPr>
      </w:pPr>
      <w:r>
        <w:rPr>
          <w:lang w:val="fr-BE"/>
        </w:rPr>
        <w:t>Christophe Philippe (</w:t>
      </w:r>
      <w:proofErr w:type="spellStart"/>
      <w:r>
        <w:rPr>
          <w:lang w:val="fr-BE"/>
        </w:rPr>
        <w:t>sé</w:t>
      </w:r>
      <w:proofErr w:type="spellEnd"/>
      <w:r>
        <w:rPr>
          <w:lang w:val="fr-BE"/>
        </w:rPr>
        <w:t>)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Anne Dubois (</w:t>
      </w:r>
      <w:proofErr w:type="spellStart"/>
      <w:r>
        <w:rPr>
          <w:lang w:val="fr-BE"/>
        </w:rPr>
        <w:t>sé</w:t>
      </w:r>
      <w:proofErr w:type="spellEnd"/>
      <w:r>
        <w:rPr>
          <w:lang w:val="fr-BE"/>
        </w:rPr>
        <w:t>)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Laurent Goret (</w:t>
      </w:r>
      <w:proofErr w:type="spellStart"/>
      <w:r>
        <w:rPr>
          <w:lang w:val="fr-BE"/>
        </w:rPr>
        <w:t>sé</w:t>
      </w:r>
      <w:proofErr w:type="spellEnd"/>
      <w:r>
        <w:rPr>
          <w:lang w:val="fr-BE"/>
        </w:rPr>
        <w:t>)</w:t>
      </w:r>
    </w:p>
    <w:p w:rsidR="00F77699" w:rsidRPr="007C41EE" w:rsidRDefault="00F77699" w:rsidP="007C41EE">
      <w:pPr>
        <w:rPr>
          <w:lang w:val="fr-BE"/>
        </w:rPr>
      </w:pPr>
    </w:p>
    <w:sectPr w:rsidR="00F77699" w:rsidRPr="007C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73"/>
    <w:rsid w:val="00270A81"/>
    <w:rsid w:val="002C2773"/>
    <w:rsid w:val="002E35D9"/>
    <w:rsid w:val="003233CB"/>
    <w:rsid w:val="00370915"/>
    <w:rsid w:val="003C1242"/>
    <w:rsid w:val="00400B2A"/>
    <w:rsid w:val="00487D55"/>
    <w:rsid w:val="004C43D4"/>
    <w:rsid w:val="00522B76"/>
    <w:rsid w:val="00577904"/>
    <w:rsid w:val="005B5315"/>
    <w:rsid w:val="00731573"/>
    <w:rsid w:val="007C41EE"/>
    <w:rsid w:val="00A85EFC"/>
    <w:rsid w:val="00AA630B"/>
    <w:rsid w:val="00B777FE"/>
    <w:rsid w:val="00C944E8"/>
    <w:rsid w:val="00C97E28"/>
    <w:rsid w:val="00D160B3"/>
    <w:rsid w:val="00D56A2A"/>
    <w:rsid w:val="00DC5979"/>
    <w:rsid w:val="00E540A2"/>
    <w:rsid w:val="00E8360F"/>
    <w:rsid w:val="00F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45D9-41AE-4FC3-8CCE-A1FD396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3651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Anne</dc:creator>
  <cp:keywords/>
  <dc:description/>
  <cp:lastModifiedBy>Karen De Windt</cp:lastModifiedBy>
  <cp:revision>2</cp:revision>
  <dcterms:created xsi:type="dcterms:W3CDTF">2020-04-20T13:50:00Z</dcterms:created>
  <dcterms:modified xsi:type="dcterms:W3CDTF">2020-04-20T13:50:00Z</dcterms:modified>
</cp:coreProperties>
</file>